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47 vom 6. Mai 2013</w:t>
      </w:r>
    </w:p>
    <w:p>
      <w:r>
        <w:t>VS Kantonsgericht, 2013-05-06, FR</w:t>
      </w:r>
    </w:p>
    <w:p>
      <w:r>
        <w:rPr>
          <w:b/>
        </w:rPr>
        <w:t xml:space="preserve">Quelle: </w:t>
      </w:r>
      <w:r>
        <w:t>https://mcp.opencaselaw.ch/entscheid/vs_gerichte_P3 13 47</w:t>
      </w:r>
    </w:p>
    <w:p>
      <w:r>
        <w:t>FR: VS_GERICHTE P3 13 47 du 6 mai 2013</w:t>
      </w:r>
    </w:p>
    <w:p>
      <w:r>
        <w:t>IT: VS_GERICHTE P3 13 47 del 6 maggio 2013</w:t>
      </w:r>
    </w:p>
    <w:p>
      <w:pPr>
        <w:pStyle w:val="Heading2"/>
      </w:pPr>
      <w:r>
        <w:t>Regeste</w:t>
      </w:r>
    </w:p>
    <w:p>
      <w:r>
        <w:t>200 RVJ / ZWR 2014 Droit pénal Strafrecht Droit pénal – lésions corporelles par négligence – ATC (Juge de la Chambre pénale) du 6 mai 2013, dame X. c. Office régional du Ministère public du canton du Valais - TCV P3 13 47 Lésions corporelles par négligence : devoirs de prudence en relation avec la traversée d’un alpage ; règles édictées par le service de pré- vention des accidents dans l’agriculture - Lorsque l’insuffisance de charges est claire ou qu’il n’est pas possible d’établir la réalisation des éléments constitutifs de l’infraction, une ordonnance de non-entrée en matière doit être rendue (art. 310 al. 1 let. a CPP ; consid. 2.1). - En tant que détenteur d’animal, le responsable d’un alpage assume un position de garant qui l’oblige à prendre les mesures aptes à éviter tout accident (art. 125 CP, art. 56 al. 1 CO ; consid. 2.2). - Les devoirs de prudence des éleveurs sont définis par les recommandations du service de prévention des accidents dans l’agriculture (SPAA) qui a édicté différentes règles de prudence qui visent également les responsables de sentiers pédestres et les randonneurs (art. 12 al. 3 CP, art. 699 CC</w:t>
      </w:r>
    </w:p>
    <w:p>
      <w:pPr>
        <w:pStyle w:val="Heading2"/>
      </w:pPr>
      <w:r>
        <w:t>Erwägungen</w:t>
      </w:r>
    </w:p>
    <w:p>
      <w:r>
        <w:rPr>
          <w:b/>
        </w:rPr>
        <w:t>E. 1</w:t>
      </w:r>
    </w:p>
    <w:p>
      <w:r>
        <w:t>let. a CPP, 20 al. 3 LOJ et 13 al. 1 LACPP). Peuvent notamment être invoqués la violation du droit, y compris l’excès et l’abus du pouvoir d’appréciation (art. 393 al. 2 let. a CPP), ainsi que la constatation incomplète ou erronée des faits (let. b). L’autorité de recours ne doit connaître que de ce qui lui est soumis, de sorte qu’elle n’examine que les griefs soulevés, dès lors que le recours doit être motivé (RVJ 2012 p. 221 consid. 1.2 et les références citées). 2.1 Selon l’article 310 alinéa 1 lettre a CPP, le ministère public rend immédiatement une ordonnance de non-entrée en matière s’il ressort de la dénonciation ou du rapport de police que les éléments constitutifs de l’infraction ou les conditions à l’ouverture de l’action pénale ne sont manifestement pas réunis. En effet, il faut que l’insuffisance de charges soit claire (ATF 137 IV 285 consid. 2.3 ; arrêt 6B_454/2011 du 6 décembre 2011 consid. 3.2) ou, au moins, qu’il n’apparaisse guère possible d’établir la réalisation des éléments constitutifs de l’infraction (cf. arrêt 1B_280/2011 du 21 septembre 2011 consid. 2.2). D’un point de vue pratique, en application de l'adage « in dubio pro duriore », la procédure doit se poursuivre lorsqu'une condamnation apparaît plus vraisemblable qu'un acquittement ou lorsque les probabilités d'acquittement et de condamnation apparaissent équivalentes, en particulier en présence d'une infraction grave (cf. ATF 138 IV 86 consid. 4.1.2 ; 137 IV 219 consid. 2.5 ; arrêts 1B_709/2012 du 21 février 2013 consid. 3.1, 1B_327/2012 du 20 février 2013 consid. 2.1 et 329/2012 du 18 septembre 2012 consid. 2.1). 2.2 Au terme de l’article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L'article 125 CP constitue une infraction de résultat, qui présuppose en principe une action. Une telle infraction peut également être réalisée lorsque l'auteur n'empêche pas le résultat dommageable de se produire, alors qu'il aurait pu le faire et qu'il avait l'obligation juridique d'agir pour prévenir la lésion de l'intérêt protégé (délit d'omission improprement dit). Un délit d'omission improprement dit est réalisé lorsque la survenance du résultat que l'auteur s'est abstenu d'empêcher constitue une infraction, que ce dernier aurait effectivement pu éviter le résultat par son action et qu'en raison de sa situation juridique particulière, il y était à ce point obligé que son omission apparaît comparable au fait de provoquer le résultat par un comportement actif. La doctrine et la jurisprudence ont développé les situations de garant qui obligent juridiquement à prendre des mesures de précaution (ATF 113 IV 68 consid. 5b). Dans ce sens, l'article 56 alinéa 1 CO prévoit qu'en cas de dommage causé par un animal, la personne qui le détient est responsable, si elle ne prouve qu'elle l'a gardé et surveillé avec toute l'attention commandée par les circonstances ou que sa diligence</w:t>
      </w:r>
    </w:p>
    <w:p>
      <w:r>
        <w:t>- 5 - n'eût pas empêché le dommage de se produire. En tant que détenteur d'animal, le responsable de l’alpage était tenu de prendre les mesures nécessaires et utiles à éviter tout accident. Il assumait par conséquent une position de garant. 2.3 Selon l’article 12 alinéa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135 IV 56 consid. 2.1; 133 IV 158 consid. 5.1; 122 IV 17 consid. 2b). Les devoirs de prudence sont définis en premier lieu par les prescriptions de sécurité et de prévention des accidents en vigueur. A défaut de telles prescriptions légales ou réglementaires et en l'absence de règles analogues édictées par des associations privées, il y a lieu d'examiner quelles mesures de prudence l'ensemble des circonstances concrètes imposait de prendre (ATF 131 III 115 consid. 2.1). S’agissant des exploitations agricoles, le Service de Prévention des Accidents dans l'Agriculture (SPAA) est compétent pour émettre toute recommandation en matière de sécurité du travail (cf. art. 85 al. 3 de la loi fédérale du 20 mars 1981 sur l'assurance-accidents [LAA, RS 832.20] ; cf. ATF 131 III 115 consid. 2.3), dont la stricte application ne dépend aucunement du libre accès aux forêts et pâturages garanti par l'article 699 CC. Ainsi, afin de favoriser une fréquentation des alpages dénuée, autant que possible, de risques pour l'homme, le SPAA a édicté différentes règles de prudence à l'adresse respectivement des responsables de chemins pédestres, des randonneurs et des éleveurs (cf. pour plus de détails : arrêt 6B_1084/2009 du 29 juillet 2010 consid. 4.3). Les responsables de chemins de randonnée pédestre sont notamment priés de diffuser une fiche informative aux randonneurs (par l'intermédiaire des éleveurs, restaurants, offices de tourisme, internet, etc.) et d'installer des pancartes d'information « Les vaches allaitantes protègent leurs veaux - gardez vos distances! » sur les indicateurs de chemins pédestres. En montagne, les randonneurs sont tenus, entre autres, de ne pas quitter les chemins de randonnée traversant les pâturages, de tenir les chiens en laisse et de ne les lâcher qu'en cas de nécessité, de passer, tranquillement et discrètement, à bonne distance des animaux (20-50m), de rester calme lorsque les animaux s'approchent, de ne pas leur tourner le dos et de quitter lentement le pâturage. Quant aux éleveurs, ils sont invités si possible, à délimiter les chemins de randonnée pédestre par des clôtures, à garder les animaux vêlant dans les pâturages non empruntés, à mettre des clarines aux animaux et, à titre secondaire, à disposer à l'orée des pâturages abritant des vaches allaitantes le panneau d'avertissement « Les vaches allaitantes protègent leurs veaux - gardez vos distances! ».</w:t>
      </w:r>
    </w:p>
    <w:p>
      <w:r>
        <w:t>- 6 -</w:t>
      </w:r>
    </w:p>
    <w:p>
      <w:r>
        <w:rPr>
          <w:b/>
        </w:rPr>
        <w:t>E. 3</w:t>
      </w:r>
    </w:p>
    <w:p>
      <w:r>
        <w:t>X_________ versera à Y__________ une indemnité de 300 fr. pour les dépenses occasionnées par la procédure de recours.</w:t>
      </w:r>
    </w:p>
    <w:p>
      <w:r>
        <w:rPr>
          <w:b/>
        </w:rPr>
        <w:t>E. 4</w:t>
      </w:r>
    </w:p>
    <w:p>
      <w:r>
        <w:t>La présente ordonnance est communiquée aux parties.</w:t>
      </w:r>
    </w:p>
    <w:p>
      <w:r>
        <w:t>Sion, le 6 mai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